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3" w:rsidRPr="00382DB3" w:rsidRDefault="000C7EA3" w:rsidP="000C7EA3">
      <w:pPr>
        <w:pStyle w:val="3"/>
        <w:spacing w:before="46" w:beforeAutospacing="0" w:after="46" w:afterAutospacing="0" w:line="301" w:lineRule="atLeast"/>
        <w:ind w:left="92" w:right="92"/>
        <w:jc w:val="center"/>
        <w:rPr>
          <w:b w:val="0"/>
          <w:bCs w:val="0"/>
          <w:color w:val="003399"/>
          <w:sz w:val="28"/>
          <w:szCs w:val="28"/>
        </w:rPr>
      </w:pPr>
      <w:r w:rsidRPr="00382DB3">
        <w:rPr>
          <w:b w:val="0"/>
          <w:bCs w:val="0"/>
          <w:color w:val="003399"/>
          <w:sz w:val="28"/>
          <w:szCs w:val="28"/>
        </w:rPr>
        <w:t>Консультация для родителей «Развитие мелкой моторики как средство формирования речевой активности» (речевое развитие)</w:t>
      </w:r>
    </w:p>
    <w:p w:rsidR="000C7EA3" w:rsidRPr="000C7EA3" w:rsidRDefault="000C7EA3" w:rsidP="000C7EA3">
      <w:pPr>
        <w:spacing w:before="29" w:after="29" w:line="301" w:lineRule="atLeast"/>
        <w:ind w:right="92"/>
        <w:outlineLvl w:val="3"/>
        <w:rPr>
          <w:rFonts w:ascii="Tahoma" w:eastAsia="Times New Roman" w:hAnsi="Tahoma" w:cs="Tahoma"/>
          <w:color w:val="003399"/>
          <w:u w:val="single"/>
        </w:rPr>
      </w:pPr>
    </w:p>
    <w:p w:rsid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Для того</w:t>
      </w:r>
      <w:proofErr w:type="gramStart"/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proofErr w:type="gramEnd"/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Выделяют три критических периода формирования речевой функции. Рассмотрим их по порядку.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Первый,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когда формируются предпосылки речи и начинается речевое развитие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(до двух лет)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(гладить, катать в машине и т. д.)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(большим, указательным и средним)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Кроме упражнений с предметами, развитие мелкой моторики также осуществляется в играх с пальцами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(«Сорока», «Ладушки» и т. д.)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 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Второй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(«возраст почемучек»)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0C7EA3" w:rsidRPr="000C7EA3" w:rsidRDefault="000C7EA3" w:rsidP="000C7EA3">
      <w:pPr>
        <w:spacing w:before="46" w:after="4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Для развития тонкой моторики в этом возрасте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используются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осознания речи детьми, т. к. речь приобретает действительно практическую направленность.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  <w:proofErr w:type="gramEnd"/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При организации сенсомоторного уголка в первую очередь необходимо выбрать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место его расположения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 Оно должно быть удобным для доступа детей. Особое внимание стоит уделить подбору сенсомоторных объектов: они должны быть безопасными для жизни и здоровья детей.</w:t>
      </w:r>
    </w:p>
    <w:p w:rsidR="000C7EA3" w:rsidRPr="000C7EA3" w:rsidRDefault="000C7EA3" w:rsidP="000C7EA3">
      <w:pPr>
        <w:spacing w:before="46" w:after="46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Примерный перечень материалов: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Природный материал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(горох, орехи, фасоль, каштаны, крупа, шишки, камни, песок)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Бытовые материалы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(шестигранные карандаши, веревки, прищепки, катушки, шнурки, пуговицы, липучки)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Дидактические игры и материалы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(объемные и плоскостные </w:t>
      </w:r>
      <w:proofErr w:type="spellStart"/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паззлы</w:t>
      </w:r>
      <w:proofErr w:type="spellEnd"/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, различные мозаики, шнуровки, конструкторы)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Кусочки меха, шелка, наждачная и бархатная бумага.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Предметы для создания холодного и горячего </w:t>
      </w:r>
      <w:r w:rsidRPr="000C7EA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(грелки, формочки для льда)</w:t>
      </w: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0C7EA3" w:rsidRPr="000C7EA3" w:rsidRDefault="000C7EA3" w:rsidP="000C7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Выпуклые буквы, цифры, различные по форме мелкие предметы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0C7EA3" w:rsidRPr="000C7EA3" w:rsidRDefault="000C7EA3" w:rsidP="000C7EA3">
      <w:pPr>
        <w:spacing w:before="46" w:after="4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0C7EA3">
        <w:rPr>
          <w:rFonts w:ascii="Times New Roman" w:eastAsia="Times New Roman" w:hAnsi="Times New Roman" w:cs="Times New Roman"/>
          <w:color w:val="464646"/>
          <w:sz w:val="28"/>
          <w:szCs w:val="28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912F98" w:rsidRDefault="00912F98"/>
    <w:sectPr w:rsidR="0091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CC"/>
    <w:multiLevelType w:val="multilevel"/>
    <w:tmpl w:val="B0D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A3"/>
    <w:rsid w:val="000C7EA3"/>
    <w:rsid w:val="00382DB3"/>
    <w:rsid w:val="0091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7E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2020-01-16T04:35:00Z</dcterms:created>
  <dcterms:modified xsi:type="dcterms:W3CDTF">2020-01-16T04:44:00Z</dcterms:modified>
</cp:coreProperties>
</file>